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5BE6" w14:textId="77777777" w:rsidR="00F562B2" w:rsidRDefault="00F562B2">
      <w:pPr>
        <w:rPr>
          <w:rFonts w:cstheme="majorHAnsi"/>
        </w:rPr>
      </w:pPr>
    </w:p>
    <w:tbl>
      <w:tblPr>
        <w:tblW w:w="9781" w:type="dxa"/>
        <w:tblInd w:w="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6094"/>
        <w:gridCol w:w="1135"/>
        <w:gridCol w:w="1134"/>
      </w:tblGrid>
      <w:tr w:rsidR="00F562B2" w14:paraId="7EFE4A07" w14:textId="77777777">
        <w:trPr>
          <w:trHeight w:val="12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6B55" w14:textId="77777777" w:rsidR="00F562B2" w:rsidRDefault="00000000">
            <w:pPr>
              <w:widowControl w:val="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817A" w14:textId="77777777" w:rsidR="00F562B2" w:rsidRDefault="00000000">
            <w:pPr>
              <w:widowControl w:val="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3136" w14:textId="7797FB0F" w:rsidR="00F562B2" w:rsidRDefault="00000000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BREITZ F30 Displaygehäus</w:t>
            </w:r>
            <w:r w:rsidR="00E35C54">
              <w:rPr>
                <w:rFonts w:cstheme="majorHAnsi"/>
                <w:b/>
                <w:bCs/>
              </w:rPr>
              <w:t>e – belüftet</w:t>
            </w:r>
          </w:p>
          <w:p w14:paraId="0D4BC341" w14:textId="77777777" w:rsidR="00F562B2" w:rsidRDefault="00000000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Brandschutz Displaygehäuse</w:t>
            </w:r>
          </w:p>
          <w:p w14:paraId="2E8E57E6" w14:textId="77777777" w:rsidR="00F562B2" w:rsidRDefault="00F562B2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</w:rPr>
            </w:pPr>
          </w:p>
          <w:p w14:paraId="25CEF0BE" w14:textId="5A98F92A" w:rsidR="00F562B2" w:rsidRDefault="00000000">
            <w:pPr>
              <w:pStyle w:val="Header"/>
              <w:widowControl w:val="0"/>
              <w:tabs>
                <w:tab w:val="left" w:pos="6804"/>
              </w:tabs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Das F30</w:t>
            </w:r>
            <w:r w:rsidR="006A29B8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="006A29B8">
              <w:rPr>
                <w:rFonts w:cs="Arial"/>
                <w:color w:val="000000" w:themeColor="text1"/>
                <w:shd w:val="clear" w:color="auto" w:fill="FFFFFF"/>
              </w:rPr>
              <w:t>rauch-</w:t>
            </w:r>
            <w:r w:rsidR="002927F4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="006A29B8">
              <w:rPr>
                <w:rFonts w:cs="Arial"/>
                <w:color w:val="000000" w:themeColor="text1"/>
                <w:shd w:val="clear" w:color="auto" w:fill="FFFFFF"/>
              </w:rPr>
              <w:t>und feuerdichte Displaygehäuse</w:t>
            </w:r>
            <w:r w:rsidR="006A29B8">
              <w:rPr>
                <w:rFonts w:cs="Arial"/>
                <w:color w:val="000000" w:themeColor="text1"/>
                <w:shd w:val="clear" w:color="auto" w:fill="FFFFFF"/>
              </w:rPr>
              <w:t xml:space="preserve"> für Flucht- und Rettungswege</w:t>
            </w:r>
            <w:r w:rsidR="00164A01">
              <w:rPr>
                <w:rFonts w:cs="Arial"/>
                <w:color w:val="000000" w:themeColor="text1"/>
                <w:shd w:val="clear" w:color="auto" w:fill="FFFFFF"/>
              </w:rPr>
              <w:t>, welches aktiv belüftet ist und</w:t>
            </w:r>
            <w:r w:rsidR="002927F4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="00164A01">
              <w:rPr>
                <w:rFonts w:cs="Arial"/>
                <w:color w:val="000000" w:themeColor="text1"/>
                <w:shd w:val="clear" w:color="auto" w:fill="FFFFFF"/>
              </w:rPr>
              <w:t>i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m Verbund nach DIN/EN 13501-1 geprüft </w:t>
            </w:r>
            <w:r w:rsidR="00164A01">
              <w:rPr>
                <w:rFonts w:cs="Arial"/>
                <w:color w:val="000000" w:themeColor="text1"/>
                <w:shd w:val="clear" w:color="auto" w:fill="FFFFFF"/>
              </w:rPr>
              <w:t>ist. Das Gehäuse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erfüllt</w:t>
            </w:r>
            <w:r>
              <w:rPr>
                <w:rFonts w:cstheme="majorHAnsi"/>
              </w:rPr>
              <w:t xml:space="preserve"> die 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Feuerwiderstandsklasse A1/A2-s1, d0. </w:t>
            </w:r>
          </w:p>
          <w:p w14:paraId="4F1E210E" w14:textId="79749730" w:rsidR="002927F4" w:rsidRDefault="002927F4">
            <w:pPr>
              <w:pStyle w:val="Header"/>
              <w:widowControl w:val="0"/>
              <w:tabs>
                <w:tab w:val="left" w:pos="6804"/>
              </w:tabs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Der Nachweis hierüber erfolgt mittels der Materialprüfanstalt</w:t>
            </w:r>
            <w:r w:rsidR="001478DB">
              <w:rPr>
                <w:rFonts w:cs="Arial"/>
                <w:color w:val="000000" w:themeColor="text1"/>
                <w:shd w:val="clear" w:color="auto" w:fill="FFFFFF"/>
              </w:rPr>
              <w:t xml:space="preserve"> (z.B. MPA-Dresden)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>.</w:t>
            </w:r>
          </w:p>
          <w:p w14:paraId="0EF668DE" w14:textId="77777777" w:rsidR="00F562B2" w:rsidRDefault="00F562B2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</w:p>
          <w:p w14:paraId="1E21B6D6" w14:textId="77777777" w:rsidR="00F562B2" w:rsidRDefault="00000000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Eigenschaften:</w:t>
            </w:r>
          </w:p>
          <w:p w14:paraId="0E6FED56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Feuer- und Rauchschutz für min. 30 Minuten</w:t>
            </w:r>
          </w:p>
          <w:p w14:paraId="76F0BB8E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="Calibri Light"/>
              </w:rPr>
              <w:t>Geeignet</w:t>
            </w:r>
            <w:r>
              <w:rPr>
                <w:rFonts w:cstheme="majorHAnsi"/>
              </w:rPr>
              <w:t xml:space="preserve"> für den 24/7 Betrieb</w:t>
            </w:r>
          </w:p>
          <w:p w14:paraId="20C0A330" w14:textId="6AD17FB2" w:rsidR="006A29B8" w:rsidRDefault="00000000" w:rsidP="006A29B8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 xml:space="preserve">Aktive / </w:t>
            </w:r>
            <w:r w:rsidR="00164A01">
              <w:rPr>
                <w:rFonts w:cstheme="majorHAnsi"/>
              </w:rPr>
              <w:t>p</w:t>
            </w:r>
            <w:r>
              <w:rPr>
                <w:rFonts w:cstheme="majorHAnsi"/>
              </w:rPr>
              <w:t>assive Belüftung des Displays</w:t>
            </w:r>
            <w:r w:rsidR="006A29B8">
              <w:rPr>
                <w:rFonts w:cstheme="majorHAnsi"/>
              </w:rPr>
              <w:t xml:space="preserve"> / Gehäuses</w:t>
            </w:r>
          </w:p>
          <w:p w14:paraId="30E21044" w14:textId="18AC2660" w:rsidR="006A29B8" w:rsidRDefault="006A29B8" w:rsidP="006A29B8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Fertig montiertes Gehäuse</w:t>
            </w:r>
            <w:r w:rsidR="00000000" w:rsidRPr="006A29B8">
              <w:rPr>
                <w:rFonts w:cstheme="majorHAnsi"/>
              </w:rPr>
              <w:t xml:space="preserve"> </w:t>
            </w:r>
          </w:p>
          <w:p w14:paraId="0C582316" w14:textId="74BBBEB5" w:rsidR="00F562B2" w:rsidRPr="006A29B8" w:rsidRDefault="006A29B8" w:rsidP="006A29B8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 xml:space="preserve">Im </w:t>
            </w:r>
            <w:r w:rsidR="00000000" w:rsidRPr="006A29B8">
              <w:rPr>
                <w:rFonts w:cstheme="majorHAnsi"/>
              </w:rPr>
              <w:t xml:space="preserve">Verbund </w:t>
            </w:r>
            <w:r>
              <w:rPr>
                <w:rFonts w:cstheme="majorHAnsi"/>
              </w:rPr>
              <w:t xml:space="preserve">(mit Glasscheibe, Korpus, Rauchklappe und Kabeldurchführung) </w:t>
            </w:r>
            <w:r w:rsidR="00000000" w:rsidRPr="006A29B8">
              <w:rPr>
                <w:rFonts w:cstheme="majorHAnsi"/>
              </w:rPr>
              <w:t>nach DIN EN 1363-1:2012-</w:t>
            </w:r>
            <w:r w:rsidRPr="006A29B8">
              <w:rPr>
                <w:rFonts w:cstheme="majorHAnsi"/>
              </w:rPr>
              <w:t>10 geprüft</w:t>
            </w:r>
          </w:p>
          <w:p w14:paraId="2FE9EA3B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Brandversuch nach DIN/EN 1363-1:2012-10</w:t>
            </w:r>
          </w:p>
          <w:p w14:paraId="2B17F447" w14:textId="369C6D33" w:rsidR="00F562B2" w:rsidRPr="006A29B8" w:rsidRDefault="002927F4" w:rsidP="006A29B8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Feuerwiderstandsklasse </w:t>
            </w:r>
            <w:r w:rsidR="00000000" w:rsidRPr="006A29B8">
              <w:rPr>
                <w:rFonts w:cs="Arial"/>
                <w:shd w:val="clear" w:color="auto" w:fill="FFFFFF"/>
                <w:lang w:val="en-US"/>
              </w:rPr>
              <w:t>A1/</w:t>
            </w:r>
            <w:r w:rsidR="00000000" w:rsidRPr="006A29B8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A2-s1, d0</w:t>
            </w:r>
            <w:r w:rsidR="006A29B8" w:rsidRPr="006A29B8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000000" w:rsidRPr="006A29B8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51031112" w14:textId="7A038C19" w:rsidR="00F562B2" w:rsidRPr="005565BE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t>Pflegeleichte Oberflächen</w:t>
            </w:r>
          </w:p>
          <w:p w14:paraId="75229AD5" w14:textId="63EE5692" w:rsidR="005565BE" w:rsidRPr="006C7C43" w:rsidRDefault="005565BE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t xml:space="preserve">2x Belüftungsöffnung </w:t>
            </w:r>
            <w:r w:rsidRPr="005565BE">
              <w:t>Ø</w:t>
            </w:r>
            <w:r>
              <w:t xml:space="preserve"> 80mm</w:t>
            </w:r>
          </w:p>
          <w:p w14:paraId="497C1A25" w14:textId="1B5AFEEF" w:rsidR="006C7C43" w:rsidRDefault="006C7C43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t>Selbstschließende Belüftungslöcher ab ca. 100 Grad Celsius</w:t>
            </w:r>
          </w:p>
          <w:p w14:paraId="5033253B" w14:textId="77777777" w:rsidR="00F562B2" w:rsidRDefault="00F562B2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</w:p>
          <w:p w14:paraId="552836F4" w14:textId="77777777" w:rsidR="00F562B2" w:rsidRDefault="00000000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Montageaufbau:</w:t>
            </w:r>
          </w:p>
          <w:p w14:paraId="02D10569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="Calibri Light"/>
              </w:rPr>
              <w:t xml:space="preserve">Vormontiertes </w:t>
            </w:r>
            <w:r>
              <w:rPr>
                <w:rFonts w:cstheme="majorHAnsi"/>
              </w:rPr>
              <w:t>EI30/F30 Brandschutzglas</w:t>
            </w:r>
          </w:p>
          <w:p w14:paraId="27C94DA9" w14:textId="001A5698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Kabeleinführung durch Brandschutzdichtung</w:t>
            </w:r>
          </w:p>
          <w:p w14:paraId="70B50EEE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Einfache Montage durch vormontiertes Gehäuse inklusive Rückwand</w:t>
            </w:r>
          </w:p>
          <w:p w14:paraId="6D0ABCB1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Horizontale und vertikale Montage möglich</w:t>
            </w:r>
          </w:p>
          <w:p w14:paraId="4FF5B26F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Vormontierte Kordial Rauch- &amp; Feuerabschottungsklappen</w:t>
            </w:r>
          </w:p>
          <w:p w14:paraId="1FCB27F7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 xml:space="preserve">Vormontierte </w:t>
            </w:r>
            <w:proofErr w:type="gramStart"/>
            <w:r>
              <w:rPr>
                <w:rFonts w:cstheme="majorHAnsi"/>
              </w:rPr>
              <w:t>VESA Displayhalterung</w:t>
            </w:r>
            <w:proofErr w:type="gramEnd"/>
          </w:p>
          <w:p w14:paraId="4FC8E7D3" w14:textId="77777777" w:rsidR="00F562B2" w:rsidRDefault="00F562B2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</w:p>
          <w:p w14:paraId="69727339" w14:textId="77777777" w:rsidR="00F562B2" w:rsidRDefault="00000000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Materialspezifikationen:</w:t>
            </w:r>
          </w:p>
          <w:p w14:paraId="66BB4F49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Material nicht brennbar nach A2-s1, d0</w:t>
            </w:r>
          </w:p>
          <w:p w14:paraId="3ADD8DD8" w14:textId="0D78BCF8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Standardfarbe</w:t>
            </w:r>
            <w:r w:rsidR="006A29B8">
              <w:rPr>
                <w:rFonts w:cstheme="majorHAnsi"/>
              </w:rPr>
              <w:t>:</w:t>
            </w:r>
            <w:r>
              <w:rPr>
                <w:rFonts w:cstheme="majorHAnsi"/>
              </w:rPr>
              <w:t xml:space="preserve"> Stone Natur </w:t>
            </w:r>
          </w:p>
          <w:p w14:paraId="609767A4" w14:textId="00CAF289" w:rsidR="00F562B2" w:rsidRDefault="006A29B8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  <w:color w:val="000000" w:themeColor="text1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Pflegeleichte Oberflächen</w:t>
            </w:r>
          </w:p>
          <w:p w14:paraId="2B6FE60E" w14:textId="77777777" w:rsidR="00F562B2" w:rsidRDefault="00F562B2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</w:rPr>
            </w:pPr>
          </w:p>
          <w:p w14:paraId="7ED97B01" w14:textId="77777777" w:rsidR="00F562B2" w:rsidRDefault="00000000">
            <w:pPr>
              <w:pStyle w:val="Header"/>
              <w:widowControl w:val="0"/>
              <w:tabs>
                <w:tab w:val="left" w:pos="2685"/>
              </w:tabs>
              <w:spacing w:line="36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Gehäuse Größe in Zoll:</w:t>
            </w:r>
          </w:p>
          <w:p w14:paraId="7850BFFC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2685"/>
              </w:tabs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19-98 Zoll verfügbar</w:t>
            </w:r>
          </w:p>
          <w:p w14:paraId="4CE212AB" w14:textId="77777777" w:rsidR="00F562B2" w:rsidRDefault="00F562B2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</w:rPr>
            </w:pPr>
          </w:p>
          <w:p w14:paraId="17F30829" w14:textId="77777777" w:rsidR="00F562B2" w:rsidRDefault="00000000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lastRenderedPageBreak/>
              <w:t>Lieferumfang:</w:t>
            </w:r>
          </w:p>
          <w:p w14:paraId="618CBECC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Vormontiertes Displaygehäuse</w:t>
            </w:r>
          </w:p>
          <w:p w14:paraId="6F8070E6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Befestigungsmaterial</w:t>
            </w:r>
          </w:p>
          <w:p w14:paraId="2D780AC3" w14:textId="40C760D1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 xml:space="preserve">Vormontierte Displayhalterung </w:t>
            </w:r>
          </w:p>
          <w:p w14:paraId="7141A132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Vormontierte Kordial Rauch- &amp; Feuerabschottungsklappen</w:t>
            </w:r>
          </w:p>
          <w:p w14:paraId="7DD1EA81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Montageanleitung</w:t>
            </w:r>
          </w:p>
          <w:p w14:paraId="791E5411" w14:textId="77777777" w:rsidR="00F562B2" w:rsidRDefault="00F562B2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cstheme="majorHAnsi"/>
                <w:b/>
              </w:rPr>
            </w:pPr>
          </w:p>
          <w:p w14:paraId="1B8BFE19" w14:textId="77777777" w:rsidR="00F562B2" w:rsidRDefault="00000000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Optionen und Zubehör:</w:t>
            </w:r>
          </w:p>
          <w:p w14:paraId="649FCA8A" w14:textId="47EE3683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Alle Farben ä</w:t>
            </w:r>
            <w:r w:rsidR="002927F4">
              <w:rPr>
                <w:rFonts w:cstheme="majorHAnsi"/>
              </w:rPr>
              <w:t>h</w:t>
            </w:r>
            <w:r>
              <w:rPr>
                <w:rFonts w:cstheme="majorHAnsi"/>
              </w:rPr>
              <w:t>nlich</w:t>
            </w:r>
            <w:r w:rsidR="002927F4">
              <w:rPr>
                <w:rFonts w:cstheme="majorHAnsi"/>
              </w:rPr>
              <w:t xml:space="preserve"> R</w:t>
            </w:r>
            <w:r>
              <w:rPr>
                <w:rFonts w:cstheme="majorHAnsi"/>
              </w:rPr>
              <w:t xml:space="preserve">AL möglich </w:t>
            </w:r>
          </w:p>
          <w:p w14:paraId="6129F895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Ausführung als Stele möglich</w:t>
            </w:r>
          </w:p>
          <w:p w14:paraId="22324DEA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Verkleidung / Unterbau möglich</w:t>
            </w:r>
          </w:p>
          <w:p w14:paraId="7EE3BF0E" w14:textId="6CCD4B41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 xml:space="preserve">Größere </w:t>
            </w:r>
            <w:r w:rsidR="002927F4">
              <w:rPr>
                <w:rFonts w:cstheme="majorHAnsi"/>
              </w:rPr>
              <w:t>Display</w:t>
            </w:r>
            <w:r>
              <w:rPr>
                <w:rFonts w:cstheme="majorHAnsi"/>
              </w:rPr>
              <w:t>-Halterung</w:t>
            </w:r>
          </w:p>
          <w:p w14:paraId="02256D02" w14:textId="37F3137A" w:rsidR="00F562B2" w:rsidRDefault="002927F4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t>2 x USB-Lüfter</w:t>
            </w:r>
            <w:r>
              <w:t xml:space="preserve"> zur a</w:t>
            </w:r>
            <w:r w:rsidR="00000000">
              <w:t>ktive</w:t>
            </w:r>
            <w:r>
              <w:t>n</w:t>
            </w:r>
            <w:r w:rsidR="00000000">
              <w:t xml:space="preserve"> Belüftung </w:t>
            </w:r>
          </w:p>
          <w:p w14:paraId="70D38F02" w14:textId="77777777" w:rsidR="00F562B2" w:rsidRDefault="00F562B2">
            <w:pPr>
              <w:pStyle w:val="Header"/>
              <w:widowControl w:val="0"/>
              <w:tabs>
                <w:tab w:val="left" w:pos="2685"/>
              </w:tabs>
              <w:spacing w:line="360" w:lineRule="auto"/>
              <w:rPr>
                <w:rFonts w:cstheme="majorHAnsi"/>
                <w:b/>
              </w:rPr>
            </w:pPr>
          </w:p>
          <w:p w14:paraId="7F224326" w14:textId="77777777" w:rsidR="00F562B2" w:rsidRDefault="00000000">
            <w:pPr>
              <w:pStyle w:val="Header"/>
              <w:widowControl w:val="0"/>
              <w:tabs>
                <w:tab w:val="left" w:pos="2685"/>
              </w:tabs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  <w:b/>
              </w:rPr>
              <w:t>Display Maße:</w:t>
            </w:r>
            <w:r>
              <w:rPr>
                <w:rFonts w:cstheme="majorHAnsi"/>
              </w:rPr>
              <w:br/>
              <w:t xml:space="preserve">(H x B </w:t>
            </w:r>
            <w:proofErr w:type="gramStart"/>
            <w:r>
              <w:rPr>
                <w:rFonts w:cstheme="majorHAnsi"/>
              </w:rPr>
              <w:t>x T</w:t>
            </w:r>
            <w:proofErr w:type="gramEnd"/>
            <w:r>
              <w:rPr>
                <w:rFonts w:cstheme="majorHAnsi"/>
              </w:rPr>
              <w:t>) in mm:</w:t>
            </w:r>
            <w:r>
              <w:rPr>
                <w:rFonts w:cstheme="majorHAnsi"/>
              </w:rPr>
              <w:tab/>
            </w:r>
          </w:p>
          <w:p w14:paraId="607710A6" w14:textId="77777777" w:rsidR="00F562B2" w:rsidRDefault="00000000">
            <w:pPr>
              <w:pStyle w:val="Header"/>
              <w:widowControl w:val="0"/>
              <w:tabs>
                <w:tab w:val="left" w:pos="2685"/>
              </w:tabs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Display Modell:</w:t>
            </w:r>
            <w:r>
              <w:rPr>
                <w:rFonts w:cstheme="majorHAnsi"/>
              </w:rPr>
              <w:tab/>
            </w:r>
          </w:p>
          <w:p w14:paraId="52C69648" w14:textId="77777777" w:rsidR="00F562B2" w:rsidRDefault="00000000">
            <w:pPr>
              <w:pStyle w:val="Header"/>
              <w:widowControl w:val="0"/>
              <w:tabs>
                <w:tab w:val="left" w:pos="2685"/>
              </w:tabs>
              <w:spacing w:line="36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Gehäuse Äußeres:</w:t>
            </w:r>
          </w:p>
          <w:p w14:paraId="27802A2A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>Alle Kordial Oberflächen</w:t>
            </w:r>
          </w:p>
          <w:p w14:paraId="7ADE5735" w14:textId="36F3D086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6804"/>
              </w:tabs>
              <w:rPr>
                <w:rFonts w:cstheme="majorHAnsi"/>
              </w:rPr>
            </w:pPr>
            <w:r>
              <w:rPr>
                <w:rFonts w:cstheme="majorHAnsi"/>
              </w:rPr>
              <w:t xml:space="preserve">Alle </w:t>
            </w:r>
            <w:r w:rsidR="002927F4">
              <w:rPr>
                <w:rFonts w:cstheme="majorHAnsi"/>
              </w:rPr>
              <w:t>RAL-Farben</w:t>
            </w:r>
            <w:r>
              <w:rPr>
                <w:rFonts w:cstheme="majorHAnsi"/>
              </w:rPr>
              <w:t xml:space="preserve"> möglich </w:t>
            </w:r>
          </w:p>
          <w:p w14:paraId="3EC4972C" w14:textId="77777777" w:rsidR="00F562B2" w:rsidRDefault="00F562B2">
            <w:pPr>
              <w:pStyle w:val="Header"/>
              <w:widowControl w:val="0"/>
              <w:tabs>
                <w:tab w:val="left" w:pos="2685"/>
              </w:tabs>
              <w:spacing w:line="360" w:lineRule="auto"/>
              <w:rPr>
                <w:rFonts w:cstheme="majorHAnsi"/>
              </w:rPr>
            </w:pPr>
          </w:p>
          <w:p w14:paraId="16E843D6" w14:textId="77777777" w:rsidR="00F562B2" w:rsidRDefault="00000000">
            <w:pPr>
              <w:pStyle w:val="Header"/>
              <w:widowControl w:val="0"/>
              <w:tabs>
                <w:tab w:val="left" w:pos="2685"/>
              </w:tabs>
              <w:spacing w:line="36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Anzubringende Wand:</w:t>
            </w:r>
          </w:p>
          <w:p w14:paraId="677F1BD7" w14:textId="77777777" w:rsidR="00F562B2" w:rsidRDefault="0000000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left" w:pos="2685"/>
              </w:tabs>
              <w:spacing w:line="360" w:lineRule="auto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Tragende Wand</w:t>
            </w:r>
          </w:p>
          <w:p w14:paraId="125C02AA" w14:textId="77777777" w:rsidR="00F562B2" w:rsidRDefault="00F562B2">
            <w:pPr>
              <w:pStyle w:val="Header"/>
              <w:widowControl w:val="0"/>
              <w:tabs>
                <w:tab w:val="left" w:pos="2685"/>
              </w:tabs>
              <w:spacing w:line="360" w:lineRule="auto"/>
              <w:rPr>
                <w:rFonts w:cstheme="majorHAnsi"/>
                <w:b/>
              </w:rPr>
            </w:pPr>
          </w:p>
          <w:p w14:paraId="6EDEFB63" w14:textId="77777777" w:rsidR="00F562B2" w:rsidRDefault="00000000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Typenbezeichnung: </w:t>
            </w:r>
            <w:r>
              <w:rPr>
                <w:rFonts w:cstheme="majorHAnsi"/>
                <w:b/>
              </w:rPr>
              <w:tab/>
              <w:t>BREITZ F30 Displaygehäuse</w:t>
            </w:r>
          </w:p>
          <w:p w14:paraId="7B5EF7AD" w14:textId="77777777" w:rsidR="00F562B2" w:rsidRDefault="00F562B2">
            <w:pPr>
              <w:widowControl w:val="0"/>
              <w:rPr>
                <w:rFonts w:cstheme="majorHAnsi"/>
                <w:b/>
              </w:rPr>
            </w:pPr>
          </w:p>
          <w:p w14:paraId="0550ABA7" w14:textId="77777777" w:rsidR="00F562B2" w:rsidRDefault="00000000">
            <w:pPr>
              <w:widowControl w:val="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Hersteller:</w:t>
            </w:r>
            <w:r>
              <w:rPr>
                <w:rFonts w:cstheme="majorHAnsi"/>
                <w:b/>
                <w:bCs/>
              </w:rPr>
              <w:tab/>
              <w:t>Kordial Media GmbH</w:t>
            </w:r>
          </w:p>
          <w:p w14:paraId="02D5C644" w14:textId="77777777" w:rsidR="00F562B2" w:rsidRDefault="00000000">
            <w:pPr>
              <w:widowControl w:val="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ab/>
            </w:r>
            <w:r>
              <w:rPr>
                <w:rFonts w:cstheme="majorHAnsi"/>
                <w:b/>
              </w:rPr>
              <w:tab/>
              <w:t>Webseite:</w:t>
            </w:r>
            <w:r>
              <w:rPr>
                <w:rFonts w:cstheme="majorHAnsi"/>
                <w:b/>
              </w:rPr>
              <w:tab/>
            </w:r>
            <w:hyperlink r:id="rId7">
              <w:r>
                <w:rPr>
                  <w:rStyle w:val="Internetverknpfung"/>
                  <w:rFonts w:cstheme="majorHAnsi"/>
                  <w:b/>
                </w:rPr>
                <w:t>www.kordial.de</w:t>
              </w:r>
            </w:hyperlink>
          </w:p>
          <w:p w14:paraId="5E23D2B4" w14:textId="77777777" w:rsidR="00F562B2" w:rsidRDefault="00000000">
            <w:pPr>
              <w:widowControl w:val="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ab/>
            </w:r>
            <w:r>
              <w:rPr>
                <w:rFonts w:cstheme="majorHAnsi"/>
                <w:b/>
              </w:rPr>
              <w:tab/>
              <w:t>Tel.:</w:t>
            </w:r>
            <w:r>
              <w:rPr>
                <w:rFonts w:cstheme="majorHAnsi"/>
                <w:b/>
              </w:rPr>
              <w:tab/>
            </w:r>
            <w:r>
              <w:rPr>
                <w:rFonts w:cstheme="majorHAnsi"/>
                <w:b/>
              </w:rPr>
              <w:tab/>
            </w:r>
            <w:hyperlink r:id="rId8">
              <w:r>
                <w:rPr>
                  <w:rStyle w:val="Internetverknpfung"/>
                  <w:rFonts w:cstheme="majorHAnsi"/>
                  <w:b/>
                </w:rPr>
                <w:t>+49 61516290880</w:t>
              </w:r>
            </w:hyperlink>
          </w:p>
          <w:p w14:paraId="1F571F7B" w14:textId="77777777" w:rsidR="00F562B2" w:rsidRDefault="00000000">
            <w:pPr>
              <w:widowControl w:val="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ab/>
            </w:r>
            <w:r>
              <w:rPr>
                <w:rFonts w:cstheme="majorHAnsi"/>
                <w:b/>
              </w:rPr>
              <w:tab/>
            </w:r>
            <w:proofErr w:type="gramStart"/>
            <w:r>
              <w:rPr>
                <w:rFonts w:cstheme="majorHAnsi"/>
                <w:b/>
              </w:rPr>
              <w:t>Email</w:t>
            </w:r>
            <w:proofErr w:type="gramEnd"/>
            <w:r>
              <w:rPr>
                <w:rFonts w:cstheme="majorHAnsi"/>
                <w:b/>
              </w:rPr>
              <w:t>:</w:t>
            </w:r>
            <w:r>
              <w:rPr>
                <w:rFonts w:cstheme="majorHAnsi"/>
                <w:b/>
              </w:rPr>
              <w:tab/>
            </w:r>
            <w:r>
              <w:rPr>
                <w:rFonts w:cstheme="majorHAnsi"/>
                <w:b/>
              </w:rPr>
              <w:tab/>
            </w:r>
            <w:hyperlink r:id="rId9">
              <w:r>
                <w:rPr>
                  <w:rStyle w:val="Internetverknpfung"/>
                  <w:rFonts w:cstheme="majorHAnsi"/>
                  <w:b/>
                </w:rPr>
                <w:t>media@kordial.de</w:t>
              </w:r>
            </w:hyperlink>
          </w:p>
          <w:p w14:paraId="6C5F853A" w14:textId="77777777" w:rsidR="00F562B2" w:rsidRDefault="00F562B2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</w:rPr>
            </w:pPr>
          </w:p>
          <w:p w14:paraId="2786F037" w14:textId="77777777" w:rsidR="00F562B2" w:rsidRDefault="00F562B2">
            <w:pPr>
              <w:pStyle w:val="Header"/>
              <w:widowControl w:val="0"/>
              <w:tabs>
                <w:tab w:val="left" w:pos="6804"/>
              </w:tabs>
              <w:rPr>
                <w:rFonts w:cstheme="maj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86A" w14:textId="77777777" w:rsidR="00F562B2" w:rsidRDefault="00F562B2">
            <w:pPr>
              <w:pStyle w:val="Footer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13ED" w14:textId="77777777" w:rsidR="00F562B2" w:rsidRDefault="00F562B2">
            <w:pPr>
              <w:widowControl w:val="0"/>
              <w:jc w:val="center"/>
              <w:rPr>
                <w:rFonts w:cstheme="majorHAnsi"/>
              </w:rPr>
            </w:pPr>
          </w:p>
        </w:tc>
      </w:tr>
    </w:tbl>
    <w:p w14:paraId="7C6AF410" w14:textId="77777777" w:rsidR="00F562B2" w:rsidRDefault="00F562B2">
      <w:pPr>
        <w:rPr>
          <w:rFonts w:cstheme="majorHAnsi"/>
        </w:rPr>
      </w:pPr>
    </w:p>
    <w:sectPr w:rsidR="00F562B2">
      <w:headerReference w:type="default" r:id="rId10"/>
      <w:pgSz w:w="11906" w:h="16838"/>
      <w:pgMar w:top="1417" w:right="985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88A5" w14:textId="77777777" w:rsidR="00EF6A4F" w:rsidRDefault="00EF6A4F">
      <w:r>
        <w:separator/>
      </w:r>
    </w:p>
  </w:endnote>
  <w:endnote w:type="continuationSeparator" w:id="0">
    <w:p w14:paraId="546E07D0" w14:textId="77777777" w:rsidR="00EF6A4F" w:rsidRDefault="00EF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A266" w14:textId="77777777" w:rsidR="00EF6A4F" w:rsidRDefault="00EF6A4F">
      <w:r>
        <w:separator/>
      </w:r>
    </w:p>
  </w:footnote>
  <w:footnote w:type="continuationSeparator" w:id="0">
    <w:p w14:paraId="0AB85EFA" w14:textId="77777777" w:rsidR="00EF6A4F" w:rsidRDefault="00EF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E81A" w14:textId="5621C553" w:rsidR="00F562B2" w:rsidRDefault="0000000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ind w:right="-143"/>
      <w:rPr>
        <w:rFonts w:ascii="Arial" w:hAnsi="Arial"/>
        <w:b/>
      </w:rPr>
    </w:pPr>
    <w:r>
      <w:rPr>
        <w:rFonts w:ascii="Arial" w:hAnsi="Arial"/>
        <w:b/>
      </w:rPr>
      <w:t xml:space="preserve">LV Vorbeugender Brandschutz: 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Datum: </w:t>
    </w:r>
    <w:r>
      <w:rPr>
        <w:rFonts w:ascii="Arial" w:hAnsi="Arial"/>
        <w:b/>
      </w:rPr>
      <w:fldChar w:fldCharType="begin"/>
    </w:r>
    <w:r>
      <w:rPr>
        <w:rFonts w:ascii="Arial" w:hAnsi="Arial"/>
        <w:b/>
      </w:rPr>
      <w:instrText>DATE \@"dd\.MM\.yy"</w:instrText>
    </w:r>
    <w:r>
      <w:rPr>
        <w:rFonts w:ascii="Arial" w:hAnsi="Arial"/>
        <w:b/>
      </w:rPr>
      <w:fldChar w:fldCharType="separate"/>
    </w:r>
    <w:r w:rsidR="00E35C54">
      <w:rPr>
        <w:rFonts w:ascii="Arial" w:hAnsi="Arial"/>
        <w:b/>
        <w:noProof/>
      </w:rPr>
      <w:t>20.12.22</w:t>
    </w:r>
    <w:r>
      <w:rPr>
        <w:rFonts w:ascii="Arial" w:hAnsi="Arial"/>
        <w:b/>
      </w:rPr>
      <w:fldChar w:fldCharType="end"/>
    </w:r>
  </w:p>
  <w:p w14:paraId="72250290" w14:textId="77777777" w:rsidR="00F562B2" w:rsidRDefault="0000000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ind w:right="-143"/>
      <w:rPr>
        <w:rFonts w:ascii="Arial" w:hAnsi="Arial"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Seite: 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>PAGE</w:instrText>
    </w:r>
    <w:r>
      <w:rPr>
        <w:rStyle w:val="PageNumber"/>
        <w:rFonts w:ascii="Arial" w:hAnsi="Arial"/>
        <w:b/>
      </w:rPr>
      <w:fldChar w:fldCharType="separate"/>
    </w:r>
    <w:r>
      <w:rPr>
        <w:rStyle w:val="PageNumber"/>
        <w:rFonts w:ascii="Arial" w:hAnsi="Arial"/>
        <w:b/>
      </w:rPr>
      <w:t>2</w:t>
    </w:r>
    <w:r>
      <w:rPr>
        <w:rStyle w:val="PageNumber"/>
        <w:rFonts w:ascii="Arial" w:hAnsi="Arial"/>
        <w:b/>
      </w:rPr>
      <w:fldChar w:fldCharType="end"/>
    </w:r>
  </w:p>
  <w:p w14:paraId="10E03558" w14:textId="77777777" w:rsidR="00F562B2" w:rsidRDefault="00F562B2">
    <w:pPr>
      <w:pStyle w:val="Heading2"/>
      <w:shd w:val="clear" w:color="auto" w:fill="F2F2F2"/>
      <w:ind w:right="-143"/>
      <w:rPr>
        <w:rFonts w:ascii="Arial" w:hAnsi="Arial"/>
        <w:b w:val="0"/>
      </w:rPr>
    </w:pPr>
  </w:p>
  <w:p w14:paraId="046B1B28" w14:textId="77777777" w:rsidR="00F562B2" w:rsidRDefault="00F562B2">
    <w:pPr>
      <w:ind w:right="-857"/>
    </w:pPr>
  </w:p>
  <w:p w14:paraId="1BFD8B20" w14:textId="77777777" w:rsidR="00F562B2" w:rsidRDefault="00000000">
    <w:pPr>
      <w:pStyle w:val="BodyText"/>
      <w:pBdr>
        <w:top w:val="nil"/>
        <w:left w:val="nil"/>
        <w:bottom w:val="nil"/>
        <w:right w:val="nil"/>
      </w:pBdr>
      <w:shd w:val="clear" w:color="auto" w:fill="F2F2F2"/>
      <w:spacing w:before="0" w:after="0"/>
      <w:ind w:right="-143"/>
      <w:rPr>
        <w:rFonts w:ascii="Arial" w:hAnsi="Arial"/>
        <w:sz w:val="20"/>
      </w:rPr>
    </w:pPr>
    <w:r>
      <w:rPr>
        <w:rFonts w:ascii="Arial" w:hAnsi="Arial"/>
        <w:sz w:val="20"/>
      </w:rPr>
      <w:t xml:space="preserve">Pos.     </w:t>
    </w:r>
    <w:proofErr w:type="gramStart"/>
    <w:r>
      <w:rPr>
        <w:rFonts w:ascii="Arial" w:hAnsi="Arial"/>
        <w:sz w:val="20"/>
      </w:rPr>
      <w:t xml:space="preserve">Stück  </w:t>
    </w:r>
    <w:r>
      <w:rPr>
        <w:rFonts w:ascii="Arial" w:hAnsi="Arial"/>
        <w:sz w:val="20"/>
      </w:rPr>
      <w:tab/>
    </w:r>
    <w:proofErr w:type="gramEnd"/>
    <w:r>
      <w:rPr>
        <w:rFonts w:ascii="Arial" w:hAnsi="Arial"/>
        <w:sz w:val="20"/>
      </w:rPr>
      <w:t>Leistungsbeschreibung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  E-Preis</w:t>
    </w:r>
    <w:r>
      <w:rPr>
        <w:rFonts w:ascii="Arial" w:hAnsi="Arial"/>
        <w:sz w:val="20"/>
      </w:rPr>
      <w:tab/>
      <w:t xml:space="preserve">   G-Preis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7570"/>
    <w:multiLevelType w:val="multilevel"/>
    <w:tmpl w:val="3E4423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66094"/>
    <w:multiLevelType w:val="multilevel"/>
    <w:tmpl w:val="D01A1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0152992">
    <w:abstractNumId w:val="0"/>
  </w:num>
  <w:num w:numId="2" w16cid:durableId="104078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2"/>
    <w:rsid w:val="001478DB"/>
    <w:rsid w:val="00164A01"/>
    <w:rsid w:val="002927F4"/>
    <w:rsid w:val="005565BE"/>
    <w:rsid w:val="006A29B8"/>
    <w:rsid w:val="006C7C43"/>
    <w:rsid w:val="00B129AA"/>
    <w:rsid w:val="00E35C54"/>
    <w:rsid w:val="00EF6A4F"/>
    <w:rsid w:val="00F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440225"/>
  <w15:docId w15:val="{1373830D-FB34-144C-A99E-B3E0649A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C5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5" w:color="auto" w:fill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7F7C59"/>
  </w:style>
  <w:style w:type="character" w:customStyle="1" w:styleId="FooterChar">
    <w:name w:val="Footer Char"/>
    <w:basedOn w:val="DefaultParagraphFont"/>
    <w:link w:val="Footer"/>
    <w:uiPriority w:val="99"/>
    <w:qFormat/>
    <w:rsid w:val="007F7C59"/>
  </w:style>
  <w:style w:type="character" w:customStyle="1" w:styleId="Heading2Char">
    <w:name w:val="Heading 2 Char"/>
    <w:basedOn w:val="DefaultParagraphFont"/>
    <w:link w:val="Heading2"/>
    <w:qFormat/>
    <w:rsid w:val="007F7C59"/>
    <w:rPr>
      <w:rFonts w:ascii="Times New Roman" w:eastAsia="Times New Roman" w:hAnsi="Times New Roman" w:cs="Times New Roman"/>
      <w:b/>
      <w:i/>
      <w:sz w:val="20"/>
      <w:szCs w:val="20"/>
      <w:shd w:val="clear" w:color="auto" w:fill="F2F2F2"/>
      <w:lang w:eastAsia="de-DE"/>
    </w:rPr>
  </w:style>
  <w:style w:type="character" w:styleId="PageNumber">
    <w:name w:val="page number"/>
    <w:basedOn w:val="DefaultParagraphFont"/>
    <w:qFormat/>
    <w:rsid w:val="007F7C59"/>
  </w:style>
  <w:style w:type="character" w:customStyle="1" w:styleId="BodyTextChar">
    <w:name w:val="Body Text Char"/>
    <w:basedOn w:val="DefaultParagraphFont"/>
    <w:link w:val="BodyText"/>
    <w:qFormat/>
    <w:rsid w:val="007F7C59"/>
    <w:rPr>
      <w:rFonts w:ascii="Times New Roman" w:eastAsia="Times New Roman" w:hAnsi="Times New Roman" w:cs="Times New Roman"/>
      <w:b/>
      <w:sz w:val="22"/>
      <w:szCs w:val="20"/>
      <w:lang w:eastAsia="de-DE"/>
    </w:rPr>
  </w:style>
  <w:style w:type="character" w:customStyle="1" w:styleId="Internetverknpfung">
    <w:name w:val="Internetverknüpfung"/>
    <w:rsid w:val="007F7C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qFormat/>
    <w:rsid w:val="0053761D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DefaultParagraphFont"/>
    <w:uiPriority w:val="99"/>
    <w:semiHidden/>
    <w:unhideWhenUsed/>
    <w:rsid w:val="0053761D"/>
    <w:rPr>
      <w:color w:val="954F72" w:themeColor="followed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7F7C5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120"/>
    </w:pPr>
    <w:rPr>
      <w:rFonts w:ascii="Times New Roman" w:eastAsia="Times New Roman" w:hAnsi="Times New Roman" w:cs="Times New Roman"/>
      <w:b/>
      <w:sz w:val="22"/>
      <w:szCs w:val="20"/>
      <w:lang w:eastAsia="de-DE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nhideWhenUsed/>
    <w:rsid w:val="007F7C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nhideWhenUsed/>
    <w:rsid w:val="007F7C59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6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dial.de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dial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@kordia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Rojan Dogan</dc:creator>
  <dc:description/>
  <cp:lastModifiedBy>ken Yüzmüs</cp:lastModifiedBy>
  <cp:revision>31</cp:revision>
  <cp:lastPrinted>2022-12-20T15:41:00Z</cp:lastPrinted>
  <dcterms:created xsi:type="dcterms:W3CDTF">2020-04-03T11:43:00Z</dcterms:created>
  <dcterms:modified xsi:type="dcterms:W3CDTF">2022-12-20T15:49:00Z</dcterms:modified>
  <dc:language>de-DE</dc:language>
</cp:coreProperties>
</file>